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D3D6B">
      <w:pPr>
        <w:widowControl/>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特变电工西安电气科技有限公司</w:t>
      </w:r>
    </w:p>
    <w:p w14:paraId="6A126A63">
      <w:pPr>
        <w:widowControl/>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eastAsia="zh" w:bidi="ar"/>
          <w:woUserID w:val="2"/>
        </w:rPr>
        <w:t>2025</w:t>
      </w:r>
      <w:r>
        <w:rPr>
          <w:rFonts w:hint="eastAsia" w:ascii="宋体" w:hAnsi="宋体" w:eastAsia="宋体" w:cs="宋体"/>
          <w:b/>
          <w:bCs/>
          <w:color w:val="000000"/>
          <w:kern w:val="0"/>
          <w:sz w:val="32"/>
          <w:szCs w:val="32"/>
          <w:lang w:bidi="ar"/>
        </w:rPr>
        <w:t>年校园招聘</w:t>
      </w:r>
    </w:p>
    <w:p w14:paraId="28481842">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公司简介</w:t>
      </w:r>
    </w:p>
    <w:p w14:paraId="5C70232F">
      <w:pPr>
        <w:widowControl/>
        <w:numPr>
          <w:ilvl w:val="0"/>
          <w:numId w:val="0"/>
        </w:numPr>
        <w:ind w:firstLine="640" w:firstLineChars="200"/>
        <w:jc w:val="left"/>
        <w:rPr>
          <w:rFonts w:hint="eastAsia" w:ascii="宋体" w:hAnsi="宋体" w:eastAsia="宋体" w:cs="宋体"/>
          <w:color w:val="000000"/>
          <w:kern w:val="0"/>
          <w:sz w:val="32"/>
          <w:szCs w:val="32"/>
          <w:lang w:eastAsia="zh" w:bidi="ar"/>
          <w:woUserID w:val="2"/>
        </w:rPr>
      </w:pPr>
      <w:r>
        <w:rPr>
          <w:rFonts w:hint="eastAsia" w:ascii="宋体" w:hAnsi="宋体" w:eastAsia="宋体" w:cs="宋体"/>
          <w:color w:val="000000"/>
          <w:kern w:val="0"/>
          <w:sz w:val="32"/>
          <w:szCs w:val="32"/>
          <w:lang w:eastAsia="zh" w:bidi="ar"/>
          <w:woUserID w:val="2"/>
        </w:rPr>
        <w:t>特变电工西安电气科技有限公司是特变电工旗下以电力电子技术为核心，构建新型电力系统核心装备研发、制造企业涉及光伏发电、储能领域，为用户提供光伏并网逆变器、储能变流器产品及系统解决方案。</w:t>
      </w:r>
    </w:p>
    <w:p w14:paraId="7A946BE4">
      <w:pPr>
        <w:widowControl/>
        <w:numPr>
          <w:ilvl w:val="0"/>
          <w:numId w:val="0"/>
        </w:numPr>
        <w:ind w:firstLine="640" w:firstLineChars="200"/>
        <w:jc w:val="left"/>
        <w:rPr>
          <w:rFonts w:hint="eastAsia" w:ascii="宋体" w:hAnsi="宋体" w:eastAsia="宋体" w:cs="宋体"/>
          <w:b/>
          <w:bCs/>
          <w:color w:val="000000"/>
          <w:kern w:val="0"/>
          <w:sz w:val="32"/>
          <w:szCs w:val="32"/>
          <w:lang w:bidi="ar"/>
        </w:rPr>
      </w:pPr>
      <w:r>
        <w:rPr>
          <w:rFonts w:hint="eastAsia" w:ascii="宋体" w:hAnsi="宋体" w:eastAsia="宋体" w:cs="宋体"/>
          <w:color w:val="000000"/>
          <w:kern w:val="0"/>
          <w:sz w:val="32"/>
          <w:szCs w:val="32"/>
          <w:lang w:eastAsia="zh" w:bidi="ar"/>
          <w:woUserID w:val="2"/>
        </w:rPr>
        <w:t>公司自2010年成立，是国家新能源发电装备高新技术产业基地、国家新型工业化产业示范基地、国家专利及创新型试点企业，西科公司先后申请各类专利近400项，其中发明专利160余项</w:t>
      </w:r>
      <w:r>
        <w:rPr>
          <w:rFonts w:hint="eastAsia" w:ascii="宋体" w:hAnsi="宋体" w:eastAsia="宋体" w:cs="宋体"/>
          <w:color w:val="000000"/>
          <w:kern w:val="0"/>
          <w:sz w:val="32"/>
          <w:szCs w:val="32"/>
          <w:lang w:eastAsia="zh-CN" w:bidi="ar"/>
          <w:woUserID w:val="2"/>
        </w:rPr>
        <w:t>；</w:t>
      </w:r>
      <w:r>
        <w:rPr>
          <w:rFonts w:hint="eastAsia" w:ascii="宋体" w:hAnsi="宋体" w:eastAsia="宋体" w:cs="宋体"/>
          <w:color w:val="000000"/>
          <w:kern w:val="0"/>
          <w:sz w:val="32"/>
          <w:szCs w:val="32"/>
          <w:lang w:eastAsia="zh" w:bidi="ar"/>
          <w:woUserID w:val="2"/>
        </w:rPr>
        <w:t>近3年，发表论文10余篇，先后参与近30项国家、行业、团体、地方等外部标准，着力打造全生命周期零碳数字化解决方案。</w:t>
      </w:r>
    </w:p>
    <w:p w14:paraId="1885F4F6">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招聘</w:t>
      </w:r>
      <w:r>
        <w:rPr>
          <w:rFonts w:hint="eastAsia" w:ascii="宋体" w:hAnsi="宋体" w:eastAsia="宋体" w:cs="宋体"/>
          <w:b/>
          <w:bCs/>
          <w:color w:val="000000"/>
          <w:kern w:val="0"/>
          <w:sz w:val="32"/>
          <w:szCs w:val="32"/>
          <w:lang w:val="en-US" w:eastAsia="zh-CN" w:bidi="ar"/>
        </w:rPr>
        <w:t>方向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1"/>
      </w:tblGrid>
      <w:tr w14:paraId="735B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73E9AFFA">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b/>
                <w:bCs/>
                <w:i w:val="0"/>
                <w:iCs w:val="0"/>
                <w:caps w:val="0"/>
                <w:color w:val="000000"/>
                <w:spacing w:val="0"/>
                <w:sz w:val="19"/>
                <w:szCs w:val="19"/>
              </w:rPr>
              <w:t>需求类别</w:t>
            </w:r>
          </w:p>
        </w:tc>
        <w:tc>
          <w:tcPr>
            <w:tcW w:w="3321" w:type="dxa"/>
          </w:tcPr>
          <w:p w14:paraId="603772D5">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b/>
                <w:bCs/>
                <w:i w:val="0"/>
                <w:iCs w:val="0"/>
                <w:caps w:val="0"/>
                <w:color w:val="000000"/>
                <w:spacing w:val="0"/>
                <w:sz w:val="19"/>
                <w:szCs w:val="19"/>
              </w:rPr>
              <w:t>研究方向</w:t>
            </w:r>
          </w:p>
        </w:tc>
      </w:tr>
      <w:tr w14:paraId="1957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294B5D43">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电力电子软件类</w:t>
            </w:r>
          </w:p>
        </w:tc>
        <w:tc>
          <w:tcPr>
            <w:tcW w:w="3321" w:type="dxa"/>
          </w:tcPr>
          <w:p w14:paraId="683350D7">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逆变器算法（弱网控制策略、协同型控制算法、虚拟振荡抑制算法）；产品电能质量提升、高低频策略优化、正负序分离控制、并网同切换；直流侧 Boost 性能提升、LLC 控制方法、多电平级联技术、软开关技术等。</w:t>
            </w:r>
          </w:p>
        </w:tc>
      </w:tr>
      <w:tr w14:paraId="12A0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14844EBB">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电力电子硬件类</w:t>
            </w:r>
          </w:p>
        </w:tc>
        <w:tc>
          <w:tcPr>
            <w:tcW w:w="3321" w:type="dxa"/>
          </w:tcPr>
          <w:p w14:paraId="142164DF">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大功率拓扑电路研究和电磁仿真分析，具体包括大功率交直流拓扑研究、大功率 SiC 高碳化软开关应用及其控制方式研究、电磁仿真研究等。</w:t>
            </w:r>
          </w:p>
        </w:tc>
      </w:tr>
      <w:tr w14:paraId="47B4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357264DC">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电力系统类</w:t>
            </w:r>
          </w:p>
        </w:tc>
        <w:tc>
          <w:tcPr>
            <w:tcW w:w="3321" w:type="dxa"/>
          </w:tcPr>
          <w:p w14:paraId="578D4DF3">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电力系统与逆变器 / 储能终端综合策略研究，电网级仿真等。</w:t>
            </w:r>
          </w:p>
        </w:tc>
      </w:tr>
      <w:tr w14:paraId="7CD2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7BBACE67">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电力电子设备仿真</w:t>
            </w:r>
          </w:p>
        </w:tc>
        <w:tc>
          <w:tcPr>
            <w:tcW w:w="3321" w:type="dxa"/>
          </w:tcPr>
          <w:p w14:paraId="0FDDF0BD">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现场问题复现及分析解决、仿真技术研究，仿真模型迭代升级。</w:t>
            </w:r>
          </w:p>
        </w:tc>
      </w:tr>
      <w:tr w14:paraId="1650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218C5873">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电力电子功率器件研究</w:t>
            </w:r>
          </w:p>
        </w:tc>
        <w:tc>
          <w:tcPr>
            <w:tcW w:w="3321" w:type="dxa"/>
          </w:tcPr>
          <w:p w14:paraId="22D928A3">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IGBT 模块封装设计、IGBT 模块失效机理研究、SiC 模块应用、功率电感设计及软磁材料研究方向。</w:t>
            </w:r>
          </w:p>
        </w:tc>
      </w:tr>
      <w:tr w14:paraId="632D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29709C9F">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AI 大数据算法分析</w:t>
            </w:r>
          </w:p>
        </w:tc>
        <w:tc>
          <w:tcPr>
            <w:tcW w:w="3321" w:type="dxa"/>
          </w:tcPr>
          <w:tbl>
            <w:tblPr>
              <w:tblStyle w:val="3"/>
              <w:tblW w:w="0" w:type="auto"/>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05"/>
            </w:tblGrid>
            <w:tr w14:paraId="56BE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nil"/>
                    <w:left w:val="nil"/>
                    <w:bottom w:val="nil"/>
                  </w:tcBorders>
                  <w:shd w:val="clear" w:color="auto" w:fill="FFFFFF"/>
                  <w:tcMar>
                    <w:top w:w="144" w:type="dxa"/>
                    <w:left w:w="216" w:type="dxa"/>
                    <w:bottom w:w="144" w:type="dxa"/>
                    <w:right w:w="216" w:type="dxa"/>
                  </w:tcMar>
                  <w:vAlign w:val="center"/>
                </w:tcPr>
                <w:p w14:paraId="4A62966E">
                  <w:pPr>
                    <w:keepNext w:val="0"/>
                    <w:keepLines w:val="0"/>
                    <w:widowControl/>
                    <w:suppressLineNumbers w:val="0"/>
                    <w:spacing w:line="336" w:lineRule="atLeast"/>
                    <w:jc w:val="left"/>
                    <w:rPr>
                      <w:rFonts w:ascii="Segoe UI" w:hAnsi="Segoe UI" w:eastAsia="Segoe UI" w:cs="Segoe UI"/>
                      <w:i w:val="0"/>
                      <w:iCs w:val="0"/>
                      <w:caps w:val="0"/>
                      <w:color w:val="000000"/>
                      <w:spacing w:val="0"/>
                      <w:sz w:val="19"/>
                      <w:szCs w:val="19"/>
                    </w:rPr>
                  </w:pPr>
                  <w:r>
                    <w:rPr>
                      <w:rFonts w:hint="default" w:ascii="Segoe UI" w:hAnsi="Segoe UI" w:eastAsia="Segoe UI" w:cs="Segoe UI"/>
                      <w:i w:val="0"/>
                      <w:iCs w:val="0"/>
                      <w:caps w:val="0"/>
                      <w:color w:val="000000"/>
                      <w:spacing w:val="0"/>
                      <w:kern w:val="0"/>
                      <w:sz w:val="19"/>
                      <w:szCs w:val="19"/>
                      <w:lang w:val="en-US" w:eastAsia="zh-CN" w:bidi="ar"/>
                    </w:rPr>
                    <w:br w:type="textWrapping"/>
                  </w:r>
                  <w:r>
                    <w:rPr>
                      <w:rFonts w:hint="default" w:ascii="Segoe UI" w:hAnsi="Segoe UI" w:eastAsia="Segoe UI" w:cs="Segoe UI"/>
                      <w:i w:val="0"/>
                      <w:iCs w:val="0"/>
                      <w:caps w:val="0"/>
                      <w:color w:val="000000"/>
                      <w:spacing w:val="0"/>
                      <w:kern w:val="0"/>
                      <w:sz w:val="19"/>
                      <w:szCs w:val="19"/>
                      <w:lang w:val="en-US" w:eastAsia="zh-CN" w:bidi="ar"/>
                    </w:rPr>
                    <w:t>AFC 技术、逆变器自适应控制技术、虚拟电厂及数字孪生。</w:t>
                  </w:r>
                </w:p>
              </w:tc>
            </w:tr>
          </w:tbl>
          <w:p w14:paraId="01D40810">
            <w:pPr>
              <w:widowControl/>
              <w:numPr>
                <w:ilvl w:val="0"/>
                <w:numId w:val="0"/>
              </w:numPr>
              <w:jc w:val="left"/>
              <w:rPr>
                <w:rFonts w:hint="eastAsia" w:ascii="宋体" w:hAnsi="宋体" w:eastAsia="宋体" w:cs="宋体"/>
                <w:b/>
                <w:bCs/>
                <w:color w:val="000000"/>
                <w:kern w:val="0"/>
                <w:sz w:val="32"/>
                <w:szCs w:val="32"/>
                <w:vertAlign w:val="baseline"/>
                <w:lang w:bidi="ar"/>
              </w:rPr>
            </w:pPr>
          </w:p>
        </w:tc>
      </w:tr>
      <w:tr w14:paraId="1F18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78EBA155">
            <w:pPr>
              <w:widowControl/>
              <w:numPr>
                <w:ilvl w:val="0"/>
                <w:numId w:val="0"/>
              </w:numPr>
              <w:jc w:val="left"/>
              <w:rPr>
                <w:rFonts w:ascii="Segoe UI" w:hAnsi="Segoe UI" w:eastAsia="Segoe UI" w:cs="Segoe UI"/>
                <w:i w:val="0"/>
                <w:iCs w:val="0"/>
                <w:caps w:val="0"/>
                <w:spacing w:val="0"/>
                <w:sz w:val="19"/>
                <w:szCs w:val="19"/>
                <w:shd w:val="clear" w:fill="FFFFFF"/>
              </w:rPr>
            </w:pPr>
            <w:r>
              <w:rPr>
                <w:rFonts w:ascii="Segoe UI" w:hAnsi="Segoe UI" w:eastAsia="Segoe UI" w:cs="Segoe UI"/>
                <w:i w:val="0"/>
                <w:iCs w:val="0"/>
                <w:caps w:val="0"/>
                <w:spacing w:val="0"/>
                <w:sz w:val="19"/>
                <w:szCs w:val="19"/>
                <w:shd w:val="clear" w:fill="FFFFFF"/>
              </w:rPr>
              <w:t>储能系统</w:t>
            </w:r>
          </w:p>
        </w:tc>
        <w:tc>
          <w:tcPr>
            <w:tcW w:w="3321" w:type="dxa"/>
          </w:tcPr>
          <w:p w14:paraId="2E373A76">
            <w:pPr>
              <w:widowControl/>
              <w:numPr>
                <w:ilvl w:val="0"/>
                <w:numId w:val="0"/>
              </w:numPr>
              <w:jc w:val="left"/>
              <w:rPr>
                <w:rFonts w:hint="eastAsia" w:ascii="宋体" w:hAnsi="宋体" w:eastAsia="宋体" w:cs="宋体"/>
                <w:b/>
                <w:bCs/>
                <w:color w:val="000000"/>
                <w:kern w:val="0"/>
                <w:sz w:val="32"/>
                <w:szCs w:val="32"/>
                <w:vertAlign w:val="baseline"/>
                <w:lang w:bidi="ar"/>
              </w:rPr>
            </w:pPr>
            <w:r>
              <w:rPr>
                <w:rFonts w:ascii="Segoe UI" w:hAnsi="Segoe UI" w:eastAsia="Segoe UI" w:cs="Segoe UI"/>
                <w:i w:val="0"/>
                <w:iCs w:val="0"/>
                <w:caps w:val="0"/>
                <w:spacing w:val="0"/>
                <w:sz w:val="19"/>
                <w:szCs w:val="19"/>
                <w:shd w:val="clear" w:fill="FFFFFF"/>
              </w:rPr>
              <w:t>储能系统策略研究、调度策略、源网荷储协同控制、暂态功率 / 电压控制仿真定制等。</w:t>
            </w:r>
          </w:p>
        </w:tc>
      </w:tr>
    </w:tbl>
    <w:p w14:paraId="02450A3A">
      <w:pPr>
        <w:widowControl/>
        <w:numPr>
          <w:ilvl w:val="0"/>
          <w:numId w:val="0"/>
        </w:numPr>
        <w:jc w:val="left"/>
        <w:rPr>
          <w:rFonts w:hint="eastAsia" w:ascii="宋体" w:hAnsi="宋体" w:eastAsia="宋体" w:cs="宋体"/>
          <w:b/>
          <w:bCs/>
          <w:color w:val="000000"/>
          <w:kern w:val="0"/>
          <w:sz w:val="32"/>
          <w:szCs w:val="32"/>
          <w:lang w:bidi="ar"/>
        </w:rPr>
      </w:pPr>
    </w:p>
    <w:p w14:paraId="33EAF9C1">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任职资格</w:t>
      </w:r>
    </w:p>
    <w:p w14:paraId="6B723127">
      <w:pPr>
        <w:widowControl/>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bidi="ar"/>
        </w:rPr>
        <w:t>1.招聘对象:2024年7月——2025年7月毕业应届博士；</w:t>
      </w:r>
    </w:p>
    <w:p w14:paraId="70DB0556">
      <w:pPr>
        <w:widowControl/>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bidi="ar"/>
        </w:rPr>
        <w:t>2.学生会干部、班级干部及中共党员优先；</w:t>
      </w:r>
    </w:p>
    <w:p w14:paraId="368D6119">
      <w:pPr>
        <w:widowControl/>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eastAsia="zh" w:bidi="ar"/>
          <w:woUserID w:val="2"/>
        </w:rPr>
        <w:t>3</w:t>
      </w:r>
      <w:r>
        <w:rPr>
          <w:rFonts w:hint="eastAsia" w:ascii="宋体" w:hAnsi="宋体" w:eastAsia="宋体" w:cs="宋体"/>
          <w:color w:val="000000"/>
          <w:kern w:val="0"/>
          <w:sz w:val="32"/>
          <w:szCs w:val="32"/>
          <w:lang w:bidi="ar"/>
        </w:rPr>
        <w:t>.有英语</w:t>
      </w:r>
      <w:r>
        <w:rPr>
          <w:rFonts w:hint="eastAsia" w:ascii="宋体" w:hAnsi="宋体" w:eastAsia="宋体" w:cs="宋体"/>
          <w:color w:val="000000"/>
          <w:kern w:val="0"/>
          <w:sz w:val="32"/>
          <w:szCs w:val="32"/>
          <w:lang w:eastAsia="zh" w:bidi="ar"/>
          <w:woUserID w:val="2"/>
        </w:rPr>
        <w:t>四级、计算机二级等</w:t>
      </w:r>
      <w:r>
        <w:rPr>
          <w:rFonts w:hint="eastAsia" w:ascii="宋体" w:hAnsi="宋体" w:eastAsia="宋体" w:cs="宋体"/>
          <w:color w:val="000000"/>
          <w:kern w:val="0"/>
          <w:sz w:val="32"/>
          <w:szCs w:val="32"/>
          <w:lang w:bidi="ar"/>
        </w:rPr>
        <w:t>证书，在校期间成绩优异无挂科记录。</w:t>
      </w:r>
    </w:p>
    <w:p w14:paraId="6BD985CF">
      <w:pPr>
        <w:widowControl/>
        <w:ind w:firstLine="640" w:firstLineChars="200"/>
        <w:jc w:val="left"/>
        <w:rPr>
          <w:rFonts w:hint="eastAsia" w:ascii="宋体" w:hAnsi="宋体" w:eastAsia="宋体" w:cs="宋体"/>
          <w:color w:val="000000"/>
          <w:kern w:val="0"/>
          <w:sz w:val="32"/>
          <w:szCs w:val="32"/>
          <w:lang w:bidi="ar"/>
        </w:rPr>
      </w:pPr>
    </w:p>
    <w:p w14:paraId="63646F20">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薪酬福利</w:t>
      </w:r>
    </w:p>
    <w:p w14:paraId="0715B66D">
      <w:pPr>
        <w:widowControl/>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bidi="ar"/>
        </w:rPr>
        <w:t>1.提供具有竞争力的薪酬待遇：基本薪资+绩效薪资+</w:t>
      </w:r>
      <w:r>
        <w:rPr>
          <w:rFonts w:hint="eastAsia" w:ascii="宋体" w:hAnsi="宋体" w:eastAsia="宋体" w:cs="宋体"/>
          <w:color w:val="000000"/>
          <w:kern w:val="0"/>
          <w:sz w:val="32"/>
          <w:szCs w:val="32"/>
          <w:lang w:val="en-US" w:eastAsia="zh-CN" w:bidi="ar"/>
        </w:rPr>
        <w:t>年终奖</w:t>
      </w:r>
      <w:r>
        <w:rPr>
          <w:rFonts w:hint="eastAsia" w:ascii="宋体" w:hAnsi="宋体" w:eastAsia="宋体" w:cs="宋体"/>
          <w:color w:val="000000"/>
          <w:kern w:val="0"/>
          <w:sz w:val="32"/>
          <w:szCs w:val="32"/>
          <w:lang w:bidi="ar"/>
        </w:rPr>
        <w:t>；</w:t>
      </w:r>
    </w:p>
    <w:p w14:paraId="59E55A21">
      <w:pPr>
        <w:widowControl/>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bidi="ar"/>
        </w:rPr>
        <w:t>2.社会福利：六险一金、接收</w:t>
      </w:r>
      <w:r>
        <w:rPr>
          <w:rFonts w:hint="eastAsia" w:ascii="宋体" w:hAnsi="宋体" w:eastAsia="宋体" w:cs="宋体"/>
          <w:color w:val="000000"/>
          <w:kern w:val="0"/>
          <w:sz w:val="32"/>
          <w:szCs w:val="32"/>
          <w:lang w:val="en-US" w:eastAsia="zh-CN" w:bidi="ar"/>
        </w:rPr>
        <w:t>人事档案和党员</w:t>
      </w:r>
      <w:r>
        <w:rPr>
          <w:rFonts w:hint="eastAsia" w:ascii="宋体" w:hAnsi="宋体" w:eastAsia="宋体" w:cs="宋体"/>
          <w:color w:val="000000"/>
          <w:kern w:val="0"/>
          <w:sz w:val="32"/>
          <w:szCs w:val="32"/>
          <w:lang w:bidi="ar"/>
        </w:rPr>
        <w:t>档案、带薪年假；</w:t>
      </w:r>
    </w:p>
    <w:p w14:paraId="27A8DEC9">
      <w:pPr>
        <w:widowControl/>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bidi="ar"/>
        </w:rPr>
        <w:t>3.企业福利：</w:t>
      </w:r>
      <w:r>
        <w:rPr>
          <w:rFonts w:hint="eastAsia" w:ascii="宋体" w:hAnsi="宋体" w:eastAsia="宋体" w:cs="宋体"/>
          <w:color w:val="000000"/>
          <w:kern w:val="0"/>
          <w:sz w:val="32"/>
          <w:szCs w:val="32"/>
          <w:lang w:val="en-US" w:eastAsia="zh-CN" w:bidi="ar"/>
        </w:rPr>
        <w:t>定期发放租房</w:t>
      </w:r>
      <w:r>
        <w:rPr>
          <w:rFonts w:hint="eastAsia" w:ascii="宋体" w:hAnsi="宋体" w:eastAsia="宋体" w:cs="宋体"/>
          <w:color w:val="000000"/>
          <w:kern w:val="0"/>
          <w:sz w:val="32"/>
          <w:szCs w:val="32"/>
          <w:lang w:bidi="ar"/>
        </w:rPr>
        <w:t>补贴</w:t>
      </w:r>
      <w:r>
        <w:rPr>
          <w:rFonts w:hint="eastAsia" w:ascii="宋体" w:hAnsi="宋体" w:eastAsia="宋体" w:cs="宋体"/>
          <w:color w:val="000000"/>
          <w:kern w:val="0"/>
          <w:sz w:val="32"/>
          <w:szCs w:val="32"/>
          <w:lang w:eastAsia="zh-CN" w:bidi="ar"/>
        </w:rPr>
        <w:t>、</w:t>
      </w:r>
      <w:r>
        <w:rPr>
          <w:rFonts w:hint="eastAsia" w:ascii="宋体" w:hAnsi="宋体" w:eastAsia="宋体" w:cs="宋体"/>
          <w:color w:val="000000"/>
          <w:kern w:val="0"/>
          <w:sz w:val="32"/>
          <w:szCs w:val="32"/>
          <w:lang w:val="en-US" w:eastAsia="zh-CN" w:bidi="ar"/>
        </w:rPr>
        <w:t>餐补、话费补贴</w:t>
      </w:r>
      <w:r>
        <w:rPr>
          <w:rFonts w:hint="eastAsia" w:ascii="宋体" w:hAnsi="宋体" w:eastAsia="宋体" w:cs="宋体"/>
          <w:color w:val="000000"/>
          <w:kern w:val="0"/>
          <w:sz w:val="32"/>
          <w:szCs w:val="32"/>
          <w:lang w:eastAsia="zh-CN" w:bidi="ar"/>
        </w:rPr>
        <w:t>，</w:t>
      </w:r>
      <w:r>
        <w:rPr>
          <w:rFonts w:hint="eastAsia" w:ascii="宋体" w:hAnsi="宋体" w:eastAsia="宋体" w:cs="宋体"/>
          <w:color w:val="000000"/>
          <w:kern w:val="0"/>
          <w:sz w:val="32"/>
          <w:szCs w:val="32"/>
          <w:lang w:val="en-US" w:eastAsia="zh-CN" w:bidi="ar"/>
        </w:rPr>
        <w:t>提供</w:t>
      </w:r>
      <w:r>
        <w:rPr>
          <w:rFonts w:hint="eastAsia" w:ascii="宋体" w:hAnsi="宋体" w:eastAsia="宋体" w:cs="宋体"/>
          <w:color w:val="000000"/>
          <w:kern w:val="0"/>
          <w:sz w:val="32"/>
          <w:szCs w:val="32"/>
          <w:lang w:bidi="ar"/>
        </w:rPr>
        <w:t>员工食堂、全城通勤班车、年度</w:t>
      </w:r>
      <w:r>
        <w:rPr>
          <w:rFonts w:hint="eastAsia" w:ascii="宋体" w:hAnsi="宋体" w:eastAsia="宋体" w:cs="宋体"/>
          <w:color w:val="000000"/>
          <w:kern w:val="0"/>
          <w:sz w:val="32"/>
          <w:szCs w:val="32"/>
          <w:lang w:val="en-US" w:eastAsia="zh-CN" w:bidi="ar"/>
        </w:rPr>
        <w:t>免费</w:t>
      </w:r>
      <w:r>
        <w:rPr>
          <w:rFonts w:hint="eastAsia" w:ascii="宋体" w:hAnsi="宋体" w:eastAsia="宋体" w:cs="宋体"/>
          <w:color w:val="000000"/>
          <w:kern w:val="0"/>
          <w:sz w:val="32"/>
          <w:szCs w:val="32"/>
          <w:lang w:bidi="ar"/>
        </w:rPr>
        <w:t>体检</w:t>
      </w:r>
      <w:r>
        <w:rPr>
          <w:rFonts w:hint="eastAsia" w:ascii="宋体" w:hAnsi="宋体" w:eastAsia="宋体" w:cs="宋体"/>
          <w:color w:val="000000"/>
          <w:kern w:val="0"/>
          <w:sz w:val="32"/>
          <w:szCs w:val="32"/>
          <w:lang w:eastAsia="zh-CN" w:bidi="ar"/>
        </w:rPr>
        <w:t>，</w:t>
      </w:r>
      <w:r>
        <w:rPr>
          <w:rFonts w:hint="eastAsia" w:ascii="宋体" w:hAnsi="宋体" w:eastAsia="宋体" w:cs="宋体"/>
          <w:color w:val="000000"/>
          <w:kern w:val="0"/>
          <w:sz w:val="32"/>
          <w:szCs w:val="32"/>
          <w:lang w:val="en-US" w:eastAsia="zh-CN" w:bidi="ar"/>
        </w:rPr>
        <w:t>定期组织生日活动并发放</w:t>
      </w:r>
      <w:r>
        <w:rPr>
          <w:rFonts w:hint="eastAsia" w:ascii="宋体" w:hAnsi="宋体" w:eastAsia="宋体" w:cs="宋体"/>
          <w:color w:val="000000"/>
          <w:kern w:val="0"/>
          <w:sz w:val="32"/>
          <w:szCs w:val="32"/>
          <w:lang w:bidi="ar"/>
        </w:rPr>
        <w:t>生日贺礼</w:t>
      </w:r>
      <w:r>
        <w:rPr>
          <w:rFonts w:hint="eastAsia" w:ascii="宋体" w:hAnsi="宋体" w:eastAsia="宋体" w:cs="宋体"/>
          <w:color w:val="000000"/>
          <w:kern w:val="0"/>
          <w:sz w:val="32"/>
          <w:szCs w:val="32"/>
          <w:lang w:eastAsia="zh-CN" w:bidi="ar"/>
        </w:rPr>
        <w:t>，</w:t>
      </w:r>
      <w:r>
        <w:rPr>
          <w:rFonts w:hint="eastAsia" w:ascii="宋体" w:hAnsi="宋体" w:eastAsia="宋体" w:cs="宋体"/>
          <w:color w:val="000000"/>
          <w:kern w:val="0"/>
          <w:sz w:val="32"/>
          <w:szCs w:val="32"/>
          <w:lang w:val="en-US" w:eastAsia="zh-CN" w:bidi="ar"/>
        </w:rPr>
        <w:t>逢年过节发放过节大礼包</w:t>
      </w:r>
      <w:r>
        <w:rPr>
          <w:rFonts w:hint="eastAsia" w:ascii="宋体" w:hAnsi="宋体" w:eastAsia="宋体" w:cs="宋体"/>
          <w:color w:val="000000"/>
          <w:kern w:val="0"/>
          <w:sz w:val="32"/>
          <w:szCs w:val="32"/>
          <w:lang w:bidi="ar"/>
        </w:rPr>
        <w:t>；</w:t>
      </w:r>
    </w:p>
    <w:p w14:paraId="02D5C812">
      <w:pPr>
        <w:widowControl/>
        <w:ind w:firstLine="640" w:firstLineChars="200"/>
        <w:jc w:val="left"/>
        <w:rPr>
          <w:rFonts w:hint="eastAsia"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4.成长福利：公司定期组织内部培训及外派培训</w:t>
      </w:r>
      <w:r>
        <w:rPr>
          <w:rFonts w:hint="eastAsia" w:ascii="宋体" w:hAnsi="宋体" w:eastAsia="宋体" w:cs="宋体"/>
          <w:color w:val="000000"/>
          <w:kern w:val="0"/>
          <w:sz w:val="32"/>
          <w:szCs w:val="32"/>
          <w:lang w:val="en-US" w:eastAsia="zh-CN" w:bidi="ar"/>
        </w:rPr>
        <w:t>活动，为每个员工</w:t>
      </w:r>
      <w:r>
        <w:rPr>
          <w:rFonts w:hint="eastAsia" w:ascii="宋体" w:hAnsi="宋体" w:eastAsia="宋体" w:cs="宋体"/>
          <w:color w:val="000000"/>
          <w:kern w:val="0"/>
          <w:sz w:val="32"/>
          <w:szCs w:val="32"/>
          <w:lang w:bidi="ar"/>
        </w:rPr>
        <w:t>提供</w:t>
      </w:r>
      <w:r>
        <w:rPr>
          <w:rFonts w:hint="eastAsia" w:ascii="宋体" w:hAnsi="宋体" w:eastAsia="宋体" w:cs="宋体"/>
          <w:color w:val="000000"/>
          <w:kern w:val="0"/>
          <w:sz w:val="32"/>
          <w:szCs w:val="32"/>
          <w:lang w:val="en-US" w:eastAsia="zh-CN" w:bidi="ar"/>
        </w:rPr>
        <w:t>畅通的双通道</w:t>
      </w:r>
      <w:r>
        <w:rPr>
          <w:rFonts w:hint="eastAsia" w:ascii="宋体" w:hAnsi="宋体" w:eastAsia="宋体" w:cs="宋体"/>
          <w:color w:val="000000"/>
          <w:kern w:val="0"/>
          <w:sz w:val="32"/>
          <w:szCs w:val="32"/>
          <w:lang w:bidi="ar"/>
        </w:rPr>
        <w:t>发展。</w:t>
      </w:r>
    </w:p>
    <w:p w14:paraId="53045BE5">
      <w:pPr>
        <w:widowControl/>
        <w:ind w:firstLine="640" w:firstLineChars="200"/>
        <w:jc w:val="left"/>
        <w:rPr>
          <w:rFonts w:hint="eastAsia" w:ascii="宋体" w:hAnsi="宋体" w:eastAsia="宋体" w:cs="宋体"/>
          <w:color w:val="000000"/>
          <w:kern w:val="0"/>
          <w:sz w:val="32"/>
          <w:szCs w:val="32"/>
          <w:lang w:bidi="ar"/>
        </w:rPr>
      </w:pPr>
    </w:p>
    <w:p w14:paraId="75D11819">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招聘流程</w:t>
      </w:r>
    </w:p>
    <w:p w14:paraId="2C50EE6B">
      <w:pPr>
        <w:widowControl/>
        <w:numPr>
          <w:ilvl w:val="0"/>
          <w:numId w:val="0"/>
        </w:numPr>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bidi="ar"/>
        </w:rPr>
        <w:t>招聘流程：简历筛选——人才测评——初试（HR面试）——终试（专业面试）——发放签约意向书——审核——发放offer——签订三方协议——入职体检——入职</w:t>
      </w:r>
    </w:p>
    <w:p w14:paraId="6AE5A3C9">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联系方式</w:t>
      </w:r>
    </w:p>
    <w:p w14:paraId="56FE8617">
      <w:pPr>
        <w:widowControl/>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val="en-US" w:eastAsia="zh-CN" w:bidi="ar"/>
        </w:rPr>
        <w:t>电话：</w:t>
      </w:r>
      <w:r>
        <w:rPr>
          <w:rFonts w:hint="eastAsia" w:ascii="宋体" w:hAnsi="宋体" w:eastAsia="宋体" w:cs="宋体"/>
          <w:color w:val="000000"/>
          <w:kern w:val="0"/>
          <w:sz w:val="32"/>
          <w:szCs w:val="32"/>
          <w:lang w:eastAsia="zh-CN" w:bidi="ar"/>
        </w:rPr>
        <w:t>15202737307</w:t>
      </w:r>
    </w:p>
    <w:p w14:paraId="1CF23CCE">
      <w:pPr>
        <w:widowControl/>
        <w:ind w:firstLine="640" w:firstLineChars="200"/>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val="en-US" w:eastAsia="zh-CN" w:bidi="ar"/>
        </w:rPr>
        <w:t>邮箱：</w:t>
      </w:r>
      <w:r>
        <w:rPr>
          <w:rFonts w:hint="eastAsia" w:ascii="宋体" w:hAnsi="宋体" w:eastAsia="宋体" w:cs="宋体"/>
          <w:color w:val="000000"/>
          <w:kern w:val="0"/>
          <w:sz w:val="32"/>
          <w:szCs w:val="32"/>
          <w:lang w:eastAsia="zh-CN" w:bidi="ar"/>
        </w:rPr>
        <w:t>zph@gaoborc.com</w:t>
      </w:r>
      <w:bookmarkStart w:id="0" w:name="_GoBack"/>
      <w:bookmarkEnd w:id="0"/>
    </w:p>
    <w:p w14:paraId="18495233">
      <w:pPr>
        <w:widowControl/>
        <w:numPr>
          <w:ilvl w:val="0"/>
          <w:numId w:val="1"/>
        </w:numPr>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工作地点</w:t>
      </w:r>
    </w:p>
    <w:p w14:paraId="3713EBBB">
      <w:pPr>
        <w:widowControl/>
        <w:ind w:firstLine="640" w:firstLineChars="200"/>
        <w:jc w:val="left"/>
        <w:rPr>
          <w:rFonts w:hint="eastAsia" w:ascii="宋体" w:hAnsi="宋体" w:eastAsia="宋体" w:cs="宋体"/>
          <w:color w:val="000000"/>
          <w:kern w:val="0"/>
          <w:sz w:val="32"/>
          <w:szCs w:val="32"/>
          <w:lang w:bidi="ar"/>
        </w:rPr>
      </w:pPr>
      <w:r>
        <w:rPr>
          <w:rFonts w:hint="eastAsia" w:ascii="宋体" w:hAnsi="宋体" w:eastAsia="宋体" w:cs="宋体"/>
          <w:color w:val="000000"/>
          <w:kern w:val="0"/>
          <w:sz w:val="32"/>
          <w:szCs w:val="32"/>
          <w:lang w:val="en-US" w:eastAsia="zh-CN" w:bidi="ar"/>
        </w:rPr>
        <w:t>西安：</w:t>
      </w:r>
      <w:r>
        <w:rPr>
          <w:rFonts w:hint="eastAsia" w:ascii="宋体" w:hAnsi="宋体" w:eastAsia="宋体" w:cs="宋体"/>
          <w:color w:val="000000"/>
          <w:kern w:val="0"/>
          <w:sz w:val="32"/>
          <w:szCs w:val="32"/>
          <w:lang w:bidi="ar"/>
        </w:rPr>
        <w:t>陕西省西安市高新区上林苑四路70号特变电工西安产业园</w:t>
      </w:r>
    </w:p>
    <w:p w14:paraId="06A423D1">
      <w:pPr>
        <w:widowControl/>
        <w:ind w:firstLine="640" w:firstLineChars="20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南京：江苏省南京市江宁区临淮街32号中材国际写字楼</w:t>
      </w:r>
    </w:p>
    <w:p w14:paraId="13C842E0">
      <w:pPr>
        <w:widowControl/>
        <w:ind w:firstLine="640" w:firstLineChars="200"/>
        <w:jc w:val="left"/>
        <w:rPr>
          <w:rFonts w:hint="eastAsia" w:ascii="宋体" w:hAnsi="宋体" w:eastAsia="宋体" w:cs="宋体"/>
          <w:color w:val="000000"/>
          <w:kern w:val="0"/>
          <w:sz w:val="32"/>
          <w:szCs w:val="32"/>
          <w:lang w:val="en-US" w:eastAsia="zh-CN" w:bidi="ar"/>
        </w:rPr>
      </w:pPr>
    </w:p>
    <w:p w14:paraId="29EFF6F2">
      <w:pPr>
        <w:widowControl/>
        <w:ind w:firstLine="640" w:firstLineChars="200"/>
        <w:jc w:val="left"/>
        <w:rPr>
          <w:rFonts w:hint="eastAsia" w:ascii="宋体" w:hAnsi="宋体" w:eastAsia="宋体" w:cs="宋体"/>
          <w:color w:val="000000"/>
          <w:kern w:val="0"/>
          <w:sz w:val="32"/>
          <w:szCs w:val="32"/>
          <w:lang w:val="en-US" w:eastAsia="zh-CN" w:bidi="ar"/>
        </w:rPr>
      </w:pPr>
    </w:p>
    <w:p w14:paraId="0BF9276A">
      <w:pPr>
        <w:widowControl/>
        <w:ind w:firstLine="640" w:firstLineChars="200"/>
        <w:jc w:val="left"/>
        <w:rPr>
          <w:rFonts w:hint="eastAsia" w:ascii="宋体" w:hAnsi="宋体" w:eastAsia="宋体" w:cs="宋体"/>
          <w:color w:val="000000"/>
          <w:kern w:val="0"/>
          <w:sz w:val="32"/>
          <w:szCs w:val="32"/>
          <w:lang w:val="en-US" w:eastAsia="zh-CN" w:bidi="ar"/>
        </w:rPr>
      </w:pPr>
    </w:p>
    <w:p w14:paraId="42EF64A1">
      <w:pPr>
        <w:rPr>
          <w:rFonts w:hint="eastAsia" w:ascii="宋体" w:hAnsi="宋体" w:eastAsia="宋体" w:cs="宋体"/>
          <w:sz w:val="32"/>
          <w:szCs w:val="32"/>
          <w:lang w:val="en-US" w:eastAsia="zh-CN"/>
        </w:rPr>
      </w:pPr>
    </w:p>
    <w:p w14:paraId="2552210B">
      <w:pPr>
        <w:widowControl/>
        <w:ind w:firstLine="640" w:firstLineChars="200"/>
        <w:jc w:val="left"/>
        <w:rPr>
          <w:rFonts w:hint="eastAsia" w:ascii="宋体" w:hAnsi="宋体" w:eastAsia="宋体" w:cs="宋体"/>
          <w:color w:val="000000"/>
          <w:kern w:val="0"/>
          <w:sz w:val="32"/>
          <w:szCs w:val="32"/>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A2950"/>
    <w:multiLevelType w:val="singleLevel"/>
    <w:tmpl w:val="D9FA29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jNiMjczYTM4ZjAwMDk1OGIxODRmNDI0OTkxYjEifQ=="/>
  </w:docVars>
  <w:rsids>
    <w:rsidRoot w:val="00000000"/>
    <w:rsid w:val="0C70472E"/>
    <w:rsid w:val="14FE22F7"/>
    <w:rsid w:val="189A73BC"/>
    <w:rsid w:val="19C71A9D"/>
    <w:rsid w:val="1AB55242"/>
    <w:rsid w:val="27EC7EBA"/>
    <w:rsid w:val="317D41EB"/>
    <w:rsid w:val="381C72DC"/>
    <w:rsid w:val="43E75C8A"/>
    <w:rsid w:val="49AF213C"/>
    <w:rsid w:val="4B093BA7"/>
    <w:rsid w:val="55D05BED"/>
    <w:rsid w:val="59BE54C0"/>
    <w:rsid w:val="59CF2BCD"/>
    <w:rsid w:val="65D94480"/>
    <w:rsid w:val="759466EA"/>
    <w:rsid w:val="7F569A2F"/>
    <w:rsid w:val="7FFF4877"/>
    <w:rsid w:val="DDE6BDC4"/>
    <w:rsid w:val="DFEF85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1005</Words>
  <Characters>1081</Characters>
  <Lines>0</Lines>
  <Paragraphs>0</Paragraphs>
  <TotalTime>26</TotalTime>
  <ScaleCrop>false</ScaleCrop>
  <LinksUpToDate>false</LinksUpToDate>
  <CharactersWithSpaces>1095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2024-09-04T01:58:00Z</dcterms:created>
  <dc:creator>60982</dc:creator>
  <cp:lastModifiedBy>谭露</cp:lastModifiedBy>
  <dcterms:modified xsi:type="dcterms:W3CDTF">2025-05-29T01:52:10Z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ABD636389917513584C1D7663D14817A_43</vt:lpwstr>
  </property>
  <property fmtid="{D5CDD505-2E9C-101B-9397-08002B2CF9AE}" pid="4" name="KSOTemplateDocerSaveRecord">
    <vt:lpwstr>eyJoZGlkIjoiMDNhYjg5ZmVjYTc5OWY1NjE0NTgwMGNiNGUyNmM0ZmIiLCJ1c2VySWQiOiI1ODcxNDE3NDIifQ==</vt:lpwstr>
  </property>
</Properties>
</file>